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84" w:rsidRPr="00BF5484" w:rsidRDefault="00BF5484" w:rsidP="00BF5484">
      <w:pPr>
        <w:numPr>
          <w:ilvl w:val="0"/>
          <w:numId w:val="9"/>
        </w:numPr>
        <w:overflowPunct/>
        <w:autoSpaceDE/>
        <w:autoSpaceDN/>
        <w:adjustRightInd/>
        <w:spacing w:before="100" w:after="40" w:line="228" w:lineRule="auto"/>
        <w:contextualSpacing/>
        <w:textAlignment w:val="auto"/>
        <w:rPr>
          <w:rFonts w:ascii="Tahoma" w:eastAsia="Arial" w:hAnsi="Tahoma" w:cs="Tahoma"/>
          <w:b/>
          <w:color w:val="000000"/>
          <w:sz w:val="22"/>
          <w:szCs w:val="22"/>
          <w:lang w:eastAsia="es-CO"/>
        </w:rPr>
      </w:pPr>
      <w:bookmarkStart w:id="0" w:name="_GoBack"/>
      <w:bookmarkEnd w:id="0"/>
      <w:r>
        <w:rPr>
          <w:rFonts w:ascii="Tahoma" w:eastAsia="Arial" w:hAnsi="Tahoma" w:cs="Tahoma"/>
          <w:b/>
          <w:color w:val="000000"/>
          <w:sz w:val="22"/>
          <w:szCs w:val="22"/>
          <w:lang w:eastAsia="es-CO"/>
        </w:rPr>
        <w:t>BALANCE GENERAL COMPARATIVO</w:t>
      </w:r>
      <w:r w:rsidRPr="00BF5484">
        <w:rPr>
          <w:rFonts w:ascii="Tahoma" w:eastAsia="Arial" w:hAnsi="Tahoma" w:cs="Tahoma"/>
          <w:b/>
          <w:color w:val="000000"/>
          <w:sz w:val="22"/>
          <w:szCs w:val="22"/>
          <w:lang w:eastAsia="es-CO"/>
        </w:rPr>
        <w:t xml:space="preserve"> </w:t>
      </w:r>
    </w:p>
    <w:p w:rsidR="00BF5484" w:rsidRDefault="00BF548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Pr="00BF5484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F548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  <w:r w:rsidRPr="00CD7C08">
        <w:rPr>
          <w:noProof/>
          <w:lang w:eastAsia="es-CO"/>
        </w:rPr>
        <w:drawing>
          <wp:inline distT="0" distB="0" distL="0" distR="0" wp14:anchorId="0BB434F3" wp14:editId="1B600667">
            <wp:extent cx="5613400" cy="4620554"/>
            <wp:effectExtent l="0" t="0" r="6350" b="889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62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  <w:r>
        <w:rPr>
          <w:rFonts w:ascii="Tahoma" w:hAnsi="Tahoma" w:cs="Tahoma"/>
          <w:noProof/>
          <w:lang w:eastAsia="es-CO"/>
        </w:rPr>
        <w:lastRenderedPageBreak/>
        <w:drawing>
          <wp:inline distT="0" distB="0" distL="0" distR="0" wp14:anchorId="65FE8D24" wp14:editId="717984E1">
            <wp:extent cx="3962400" cy="2376342"/>
            <wp:effectExtent l="0" t="0" r="0" b="508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3763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23E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0361BF" w:rsidRDefault="000361BF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Estados Financieros de la ESE “San Rafael del Municipio de El Espinal” a 31 de diciembre de 2015, reflejan  que la entidad prestadora de servicios de salud, contabilizó un total de  activos de  $46.251,5 millones, con un crecimiento porcentual en el saldo  respecto a la vigencia 2014 del 31.41% ($11.055,6 millones), teniendo en cuenta que esta última finalizó la vigencia en $35.195,8 millones.  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Efectivo con respecto al total del activo representa el  0.54%, finalizando la anualidad  2015 en $252,6 millones, con un decrecimiento del 71.78% ($642,7 millones) con respecto al saldo registrado en la vigencia 2014 que alcanzó la suma de $895,4 millones.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caja finalizó la vigencia 2015 en $6.2 millones, cuenta que con respecto a la vigencia 2014 presentó un crecimiento en su saldo del 16.64% representados en $0.8 millones.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97.51% de los recursos disponibles por la Entidad Prestadora de Servicios de Salud se encontraban consignados en depósitos e instituciones financieras, presentando con respecto al saldo del cierre del periodo contable 2014, una disminución de $643,6 millones, finalizando de esta forma la cuenta  en $246,3 millones, de los cuales el 87% se encontraban consignados en cuentas de ahorro con el fin de devengar recursos adiciones por concepto de intereses.   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saldo de la cuenta “Inversiones e Instrumentos Derivados” que representan los recursos invertidos en títulos valores, presentaron respecto al saldo de la vigencia </w:t>
      </w:r>
      <w:r>
        <w:rPr>
          <w:rFonts w:ascii="Tahoma" w:hAnsi="Tahoma" w:cs="Tahoma"/>
        </w:rPr>
        <w:lastRenderedPageBreak/>
        <w:t>2014 ($39.5 millones) un incremento del 8.36% ($3.3 millones), finalizando de esta forma la vigencia 2015 en $42,8 millones.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“Deudores” cuenta representativa del Activo (66%), superó en $11.364,5 millones (59.22%) el saldo de la vigencia 2014, alcanzando de esta forma una cuantificación de $30.553,6 millones para la vigencia 2015; se observa que el 96,86% del saldo corresponde a “Deudores por Venta de Servicios de salud”, los cuales fueron incrementados en el periodo 2015 en $12.842 millones, finalizando la anualidad en $29.596,8 millones.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ESE San Rafael, registró en el 2014 por concepto de “Avances y Anticipos Entregados” la suma de $11,7 millones, saldo que por ocasión a las operaciones y demás gestiones de la administración disminuyó en la vigencia 2015 a $7.0millones, resultado que permite determinar el decrecimiento porcentual del saldo en  un 39.54% representados en $4.6 millones.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del balance consolidado a 31 de diciembre de 2015, se puede determinar que los derechos de la ESE por concepto de operaciones diferentes  al cometido estatal “Otros Deudores” finalizó la vigencia en $688,7 millones  con un crecimiento del 204,14% en el saldo ($462,2 millones) con respecto al del 2014 que había finalizado en $226,4 millones.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 igual forma la entidad cuantificó en la anualidad 2015 como “Deudas de Difícil Recaudo” la suma de $12.199,4 millones, saldo que fue incrementado en un 22.40% frente al 2014 ($9.966,5 millones)  y que representan los derechos de la entidad que por su antigüedad y morosidad fueron reclasificados. 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administración cuantificó como valor de inventarios para el 2015 la suma de $248,4 millones, con una disminución de $7.3 millones (2.88%) respecto al valor registrado en la vigencia 2014 el cual finalizó en $255,8 millones.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valor de la “Propiedad, Planta y Equipo” de la ESE San Rafael del Espinal fue cuantificada al cierre del periodo 2015 en $7.512 millones, con un incremento respecto al saldo de la vigencia 2014 del 3.31% representados en $240,9 millones.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 saldo de la cuenta “Otros Activos” al cierre de la anualidad 2015, presentó con respecto a la vigencia 2014, un incremento del 1.29% representados en  $97 millones, finalizando el periodo fiscal 2015 en $7.641,7 millones, el resultado obedeció a las valorizaciones realizadas por la entidad a las edificaciones de la ESE.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El grupo de cuentas del Pasivo, presentaron un incremento porcentual  significativo en el saldo de las vigencias  2014 y 2015 del 60.88% al pasar de $10.741,4 millones en el 2014  a $17.281 millones en el 2015. Las cuentas por Pagar representan al final de la vigencia 2015 el 72.82% del pasivo,  cuantificadas en $12.585,7 millones,  con un incremento del 67,52% frente a lo contabilizado en el 2014, anualidad que finalizó en $7.512,9 millones.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“Obligaciones Laborales” al cierre del periodo 2015 fueron cuantificadas en $560 millones, saldo que sufrió un incremento del 123,44% ($309,4 millones) con respecto a la vigencia 2014, anualidad que finalizó en $250,6 millones,  concluyendo de esta forma que el Ente Económico no  adelantó gestiones administrativas tendiente a disminuir el  valor adeudado con el personal que sostiene relación laboral los cuales han sido reconocidos por la ESE. 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“Otros Pasivos”  presentó una variación  significativa en el saldo que alcanzó el 150,28%  cuantificando dicho incremento en $1.157,3 millones  pasando de $770.1 millones en el 2014 a $1.927,4 millones en el 2015, variación que obedeció al incremento en el saldo de los Recaudos por Clasificar.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Patrimonio  refleja  un aumento en el saldo del 18.47% esto es $4.516 millones, pasando  de registrar una participación patrimonial de $24.454,4 millones en el 2014 a $28.970,5 millones en el 2015, apalancado principalmente por los resultados de ejercicios anteriores.  El resultado del ejercicio 2015, finalizó en $4.461,3 millones,  cuenta que  presentó una variación porcentual del 42.28% ($1.325,6 millones), frente al valor percibido en el 2014 en cuya anualidad finalizó en $3.135,7 millones. 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</w:p>
    <w:p w:rsidR="00B623E4" w:rsidRDefault="00B623E4" w:rsidP="00B623E4">
      <w:pPr>
        <w:pStyle w:val="Prrafodelista"/>
        <w:numPr>
          <w:ilvl w:val="0"/>
          <w:numId w:val="12"/>
        </w:numPr>
        <w:overflowPunct/>
        <w:autoSpaceDE/>
        <w:autoSpaceDN/>
        <w:adjustRightInd/>
        <w:spacing w:line="228" w:lineRule="auto"/>
        <w:textAlignment w:val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ESTADO DE ACTIVIDAD FINANCIERA, ECONÓMICA, SOCIAL Y AMBIENTAL COMPARATIVO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rPr>
          <w:noProof/>
        </w:rPr>
      </w:pPr>
    </w:p>
    <w:p w:rsidR="00B623E4" w:rsidRDefault="00B623E4" w:rsidP="00B623E4">
      <w:pPr>
        <w:spacing w:line="228" w:lineRule="auto"/>
        <w:rPr>
          <w:noProof/>
        </w:rPr>
      </w:pPr>
      <w:r w:rsidRPr="000F2D93">
        <w:rPr>
          <w:noProof/>
          <w:lang w:eastAsia="es-CO"/>
        </w:rPr>
        <w:lastRenderedPageBreak/>
        <w:drawing>
          <wp:inline distT="0" distB="0" distL="0" distR="0" wp14:anchorId="0E7F282D" wp14:editId="3F34FCF9">
            <wp:extent cx="5613400" cy="2464889"/>
            <wp:effectExtent l="0" t="0" r="635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464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3E4" w:rsidRDefault="00B623E4" w:rsidP="00B623E4">
      <w:pPr>
        <w:spacing w:line="228" w:lineRule="auto"/>
        <w:rPr>
          <w:noProof/>
        </w:rPr>
      </w:pPr>
    </w:p>
    <w:p w:rsidR="00B623E4" w:rsidRDefault="00B623E4" w:rsidP="00B623E4">
      <w:pPr>
        <w:spacing w:line="228" w:lineRule="auto"/>
        <w:jc w:val="both"/>
        <w:rPr>
          <w:noProof/>
        </w:rPr>
      </w:pPr>
      <w:r>
        <w:rPr>
          <w:noProof/>
        </w:rPr>
        <w:t xml:space="preserve">El Estado de la Actividad Económica de la ESE San Rafael de El Espinal  a 31 de diciembre de 2015, refleja que  producto de las operaciones adelantadas por la entidad durante la vigencia 2015, permitió  un incremento del 23.28%  representados en $9.780,7 millones en los ingresos del hospital, cuantificando al cierre del periodo 2015 en $51.794,7 millones.  </w:t>
      </w:r>
    </w:p>
    <w:p w:rsidR="00B623E4" w:rsidRDefault="00B623E4" w:rsidP="00B623E4">
      <w:pPr>
        <w:spacing w:line="228" w:lineRule="auto"/>
        <w:jc w:val="both"/>
        <w:rPr>
          <w:noProof/>
        </w:rPr>
      </w:pPr>
    </w:p>
    <w:p w:rsidR="00B623E4" w:rsidRDefault="00B623E4" w:rsidP="00B623E4">
      <w:pPr>
        <w:spacing w:line="228" w:lineRule="auto"/>
        <w:jc w:val="both"/>
        <w:rPr>
          <w:noProof/>
        </w:rPr>
      </w:pPr>
      <w:r>
        <w:rPr>
          <w:noProof/>
        </w:rPr>
        <w:t>La “Venta de Servicios” representan el 93.80% del total de los ingresos, cuenta que finalizó la anualidad en $48.586,2 millones con un incremento del 24.77% ($9.644,7 millones) con respecto a lo facturado en el 2014 en cuya vigencia alcanzó la suma de $38.941,5 millones. De igual forma ingresaron a las arcas de la entidad por concepto de “Transferencias” la suma de $260 millones, cifra que superó en $220 millones al valor registrado en la vigencia 2014 ($40 millones).</w:t>
      </w:r>
    </w:p>
    <w:p w:rsidR="00B623E4" w:rsidRDefault="00B623E4" w:rsidP="00B623E4">
      <w:pPr>
        <w:spacing w:line="228" w:lineRule="auto"/>
        <w:jc w:val="both"/>
        <w:rPr>
          <w:noProof/>
        </w:rPr>
      </w:pPr>
    </w:p>
    <w:p w:rsidR="00B623E4" w:rsidRDefault="00B623E4" w:rsidP="00B623E4">
      <w:pPr>
        <w:spacing w:line="228" w:lineRule="auto"/>
        <w:jc w:val="both"/>
        <w:rPr>
          <w:noProof/>
        </w:rPr>
      </w:pPr>
      <w:r>
        <w:rPr>
          <w:noProof/>
        </w:rPr>
        <w:t>La cuenta “Otros Ingresos” por el contrario presentó una disminución del 2.77%, pasando de registrar $3.032,5 millones en el 2014 a $2.948,4 millones en el 2015.</w:t>
      </w:r>
    </w:p>
    <w:p w:rsidR="00B623E4" w:rsidRDefault="00B623E4" w:rsidP="00B623E4">
      <w:pPr>
        <w:spacing w:line="228" w:lineRule="auto"/>
        <w:rPr>
          <w:noProof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Gastos mantuvieron un comportamiento de crecimiento entre las vigencias (2014-2015) representados en un 19.14% ($2.001,7 millones), pasando de contabilizar en la vigencia 2014 la suma de $10.457,7 millones a $12.459,5 millones en el 2015, apalancado principalmente por el incremento en saldo de administración y gastos generales los cuales alcanzaron un crecimiento del 8.08% y 8.14%. 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noProof/>
        </w:rPr>
      </w:pPr>
      <w:r>
        <w:rPr>
          <w:rFonts w:ascii="Tahoma" w:hAnsi="Tahoma" w:cs="Tahoma"/>
        </w:rPr>
        <w:t xml:space="preserve"> Los gastos público social, presentaron un crecimiento entre las dos vigencias del 111.71%, representados en $85.7 millones, pasando de registrar $76.7 millones en el 2014 a $162,4 millones en el 2015. </w:t>
      </w:r>
    </w:p>
    <w:p w:rsidR="00B623E4" w:rsidRDefault="00B623E4" w:rsidP="00B623E4">
      <w:pPr>
        <w:spacing w:line="228" w:lineRule="auto"/>
        <w:rPr>
          <w:noProof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La cuenta “Otros gastos” presentaron un decrecimiento porcentual del 10.76% en el saldo obtenido en la vigencia 2014 el cual finalizó $1.683 millones, alcanzando de esta forma una cuantificación del $1.501,9 millones.  </w:t>
      </w:r>
    </w:p>
    <w:p w:rsidR="00B623E4" w:rsidRDefault="00B623E4" w:rsidP="00B623E4">
      <w:pPr>
        <w:spacing w:line="228" w:lineRule="auto"/>
        <w:rPr>
          <w:noProof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</w:p>
    <w:p w:rsidR="00B623E4" w:rsidRPr="00AD4CE9" w:rsidRDefault="00B623E4" w:rsidP="00B623E4">
      <w:pPr>
        <w:pStyle w:val="Prrafodelista"/>
        <w:numPr>
          <w:ilvl w:val="1"/>
          <w:numId w:val="12"/>
        </w:numPr>
        <w:overflowPunct/>
        <w:autoSpaceDE/>
        <w:autoSpaceDN/>
        <w:adjustRightInd/>
        <w:spacing w:line="228" w:lineRule="auto"/>
        <w:textAlignment w:val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>
        <w:rPr>
          <w:rFonts w:ascii="Tahoma" w:hAnsi="Tahoma" w:cs="Tahoma"/>
        </w:rPr>
        <w:t xml:space="preserve"> Corriente: N</w:t>
      </w:r>
      <w:r w:rsidRPr="00AD4CE9">
        <w:rPr>
          <w:rFonts w:ascii="Tahoma" w:hAnsi="Tahoma" w:cs="Tahoma"/>
        </w:rPr>
        <w:t>os muestra la capacidad que tiene la entidad para cubrir sus deudas en el corto plazo, ya que indica por cada peso que se debe, con cuantos se cuenta para respaldarlo.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B623E4" w:rsidRPr="00195821" w:rsidRDefault="00B623E4" w:rsidP="00B623E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Pr="00A22617">
        <w:rPr>
          <w:sz w:val="20"/>
        </w:rPr>
        <w:t xml:space="preserve"> </w:t>
      </w:r>
      <w:r w:rsidR="001841A6">
        <w:rPr>
          <w:rFonts w:ascii="Tahoma" w:hAnsi="Tahoma" w:cs="Tahoma"/>
        </w:rPr>
        <w:t xml:space="preserve">   252.653</w:t>
      </w:r>
      <w:r w:rsidRPr="00A22617">
        <w:rPr>
          <w:rFonts w:ascii="Tahoma" w:hAnsi="Tahoma" w:cs="Tahoma"/>
        </w:rPr>
        <w:tab/>
        <w:t xml:space="preserve">    </w:t>
      </w:r>
    </w:p>
    <w:p w:rsidR="001841A6" w:rsidRDefault="001841A6" w:rsidP="00B623E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                    42.895</w:t>
      </w:r>
    </w:p>
    <w:p w:rsidR="00B623E4" w:rsidRDefault="00B623E4" w:rsidP="00B623E4">
      <w:pPr>
        <w:jc w:val="both"/>
        <w:rPr>
          <w:rFonts w:ascii="Tahoma" w:hAnsi="Tahoma" w:cs="Tahoma"/>
        </w:rPr>
      </w:pPr>
      <w:r w:rsidRPr="00A22617">
        <w:rPr>
          <w:rFonts w:ascii="Tahoma" w:hAnsi="Tahoma" w:cs="Tahoma"/>
        </w:rPr>
        <w:t>Deudores</w:t>
      </w:r>
      <w:r w:rsidRPr="00A22617">
        <w:rPr>
          <w:rFonts w:ascii="Tahoma" w:hAnsi="Tahoma" w:cs="Tahoma"/>
        </w:rPr>
        <w:tab/>
      </w:r>
      <w:r w:rsidRPr="00A22617">
        <w:rPr>
          <w:rFonts w:ascii="Tahoma" w:hAnsi="Tahoma" w:cs="Tahoma"/>
        </w:rPr>
        <w:tab/>
        <w:t xml:space="preserve"> </w:t>
      </w:r>
      <w:r w:rsidR="001841A6">
        <w:rPr>
          <w:rFonts w:ascii="Tahoma" w:hAnsi="Tahoma" w:cs="Tahoma"/>
        </w:rPr>
        <w:t xml:space="preserve"> 30.553.655</w:t>
      </w:r>
    </w:p>
    <w:p w:rsidR="00B623E4" w:rsidRPr="00A22617" w:rsidRDefault="00B623E4" w:rsidP="00B623E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Inventarios</w:t>
      </w:r>
      <w:r w:rsidR="001841A6">
        <w:rPr>
          <w:rFonts w:ascii="Tahoma" w:hAnsi="Tahoma" w:cs="Tahoma"/>
        </w:rPr>
        <w:t xml:space="preserve">                   248.456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--------------------</w:t>
      </w:r>
    </w:p>
    <w:p w:rsidR="00B623E4" w:rsidRPr="00AD4CE9" w:rsidRDefault="001841A6" w:rsidP="00B623E4">
      <w:pPr>
        <w:spacing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$31.097.659</w:t>
      </w:r>
    </w:p>
    <w:p w:rsidR="00B623E4" w:rsidRDefault="00B623E4" w:rsidP="00B623E4">
      <w:pPr>
        <w:spacing w:line="228" w:lineRule="auto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Cuent</w:t>
      </w:r>
      <w:r w:rsidR="001841A6">
        <w:rPr>
          <w:rFonts w:ascii="Tahoma" w:hAnsi="Tahoma" w:cs="Tahoma"/>
        </w:rPr>
        <w:t>as por Pagar         $12.585.739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Obliga</w:t>
      </w:r>
      <w:r w:rsidR="001841A6">
        <w:rPr>
          <w:rFonts w:ascii="Tahoma" w:hAnsi="Tahoma" w:cs="Tahoma"/>
        </w:rPr>
        <w:t>ciones Laborales         560.071</w:t>
      </w:r>
    </w:p>
    <w:p w:rsidR="001841A6" w:rsidRDefault="001841A6" w:rsidP="00B623E4">
      <w:pPr>
        <w:spacing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Otros Pasivos                   1.927.417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  <w:t xml:space="preserve">         </w:t>
      </w:r>
      <w:r w:rsidR="001841A6">
        <w:rPr>
          <w:rFonts w:ascii="Tahoma" w:hAnsi="Tahoma" w:cs="Tahoma"/>
        </w:rPr>
        <w:t xml:space="preserve">             </w:t>
      </w:r>
      <w:r w:rsidRPr="00AD4CE9">
        <w:rPr>
          <w:rFonts w:ascii="Tahoma" w:hAnsi="Tahoma" w:cs="Tahoma"/>
        </w:rPr>
        <w:t xml:space="preserve"> -------------------</w:t>
      </w:r>
    </w:p>
    <w:p w:rsidR="00B623E4" w:rsidRPr="00AD4CE9" w:rsidRDefault="001841A6" w:rsidP="00B623E4">
      <w:pPr>
        <w:spacing w:line="228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</w:t>
      </w:r>
      <w:r w:rsidR="00B623E4">
        <w:rPr>
          <w:rFonts w:ascii="Tahoma" w:hAnsi="Tahoma" w:cs="Tahoma"/>
        </w:rPr>
        <w:t>$</w:t>
      </w:r>
      <w:r>
        <w:rPr>
          <w:rFonts w:ascii="Tahoma" w:hAnsi="Tahoma" w:cs="Tahoma"/>
        </w:rPr>
        <w:t>15.073.227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</w:p>
    <w:p w:rsidR="00B623E4" w:rsidRPr="00AD4CE9" w:rsidRDefault="001841A6" w:rsidP="00B623E4">
      <w:pPr>
        <w:spacing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 Corriente  $31.097.659 / $15.073.227= 2.06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B623E4" w:rsidRPr="00AD4CE9" w:rsidRDefault="00B623E4" w:rsidP="00B623E4">
      <w:pPr>
        <w:spacing w:line="228" w:lineRule="auto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1841A6">
        <w:rPr>
          <w:rFonts w:ascii="Tahoma" w:hAnsi="Tahoma" w:cs="Tahoma"/>
        </w:rPr>
        <w:t xml:space="preserve"> la ESE “San Rafael de El Espinal” </w:t>
      </w:r>
      <w:r w:rsidRPr="00AD4CE9">
        <w:rPr>
          <w:rFonts w:ascii="Tahoma" w:hAnsi="Tahoma" w:cs="Tahoma"/>
        </w:rPr>
        <w:t xml:space="preserve">debe a corto plazo, cuenta con </w:t>
      </w:r>
      <w:r w:rsidR="001841A6">
        <w:rPr>
          <w:rFonts w:ascii="Tahoma" w:hAnsi="Tahoma" w:cs="Tahoma"/>
        </w:rPr>
        <w:t>$2.06</w:t>
      </w:r>
      <w:r w:rsidRPr="00AD4CE9">
        <w:rPr>
          <w:rFonts w:ascii="Tahoma" w:hAnsi="Tahoma" w:cs="Tahoma"/>
        </w:rPr>
        <w:t xml:space="preserve">  pesos en activos corriente para cu</w:t>
      </w:r>
      <w:r>
        <w:rPr>
          <w:rFonts w:ascii="Tahoma" w:hAnsi="Tahoma" w:cs="Tahoma"/>
        </w:rPr>
        <w:t xml:space="preserve">brirlos, lo que significa  la  liquidez de la entidad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1841A6" w:rsidP="00B623E4">
      <w:pPr>
        <w:spacing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$31.097.659 - $15.073.227</w:t>
      </w:r>
      <w:r w:rsidR="00B623E4">
        <w:rPr>
          <w:rFonts w:ascii="Tahoma" w:hAnsi="Tahoma" w:cs="Tahoma"/>
        </w:rPr>
        <w:t xml:space="preserve"> </w:t>
      </w:r>
      <w:r w:rsidR="00B623E4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16.024.432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</w:t>
      </w:r>
      <w:r>
        <w:rPr>
          <w:rFonts w:ascii="Tahoma" w:hAnsi="Tahoma" w:cs="Tahoma"/>
        </w:rPr>
        <w:t>la entidad</w:t>
      </w:r>
      <w:r w:rsidRPr="00AD4CE9">
        <w:rPr>
          <w:rFonts w:ascii="Tahoma" w:hAnsi="Tahoma" w:cs="Tahoma"/>
        </w:rPr>
        <w:t xml:space="preserve"> cuenta con suficientes recursos propios para operar.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</w:t>
      </w:r>
      <w:r>
        <w:rPr>
          <w:rFonts w:ascii="Tahoma" w:hAnsi="Tahoma" w:cs="Tahoma"/>
        </w:rPr>
        <w:t xml:space="preserve">os activos de la ESE Hospital San </w:t>
      </w:r>
      <w:r w:rsidR="001841A6">
        <w:rPr>
          <w:rFonts w:ascii="Tahoma" w:hAnsi="Tahoma" w:cs="Tahoma"/>
        </w:rPr>
        <w:t>Rafael de El Espinal</w:t>
      </w:r>
      <w:r>
        <w:rPr>
          <w:rFonts w:ascii="Tahoma" w:hAnsi="Tahoma" w:cs="Tahoma"/>
        </w:rPr>
        <w:t xml:space="preserve"> Tolima.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1841A6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$15.073.227 /$</w:t>
      </w:r>
      <w:r w:rsidR="008D0DCB">
        <w:rPr>
          <w:rFonts w:ascii="Tahoma" w:hAnsi="Tahoma" w:cs="Tahoma"/>
        </w:rPr>
        <w:t>46.251.521</w:t>
      </w:r>
      <w:r w:rsidR="000F10AA">
        <w:rPr>
          <w:rFonts w:ascii="Tahoma" w:hAnsi="Tahoma" w:cs="Tahoma"/>
        </w:rPr>
        <w:t xml:space="preserve"> </w:t>
      </w:r>
      <w:r w:rsidR="00B623E4" w:rsidRPr="00AD4CE9">
        <w:rPr>
          <w:rFonts w:ascii="Tahoma" w:hAnsi="Tahoma" w:cs="Tahoma"/>
        </w:rPr>
        <w:t xml:space="preserve"> = </w:t>
      </w:r>
      <w:r w:rsidR="008D0DCB">
        <w:rPr>
          <w:rFonts w:ascii="Tahoma" w:hAnsi="Tahoma" w:cs="Tahoma"/>
        </w:rPr>
        <w:t>32.58</w:t>
      </w:r>
      <w:r w:rsidR="00B623E4" w:rsidRPr="00AD4CE9">
        <w:rPr>
          <w:rFonts w:ascii="Tahoma" w:hAnsi="Tahoma" w:cs="Tahoma"/>
        </w:rPr>
        <w:t>%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</w:t>
      </w:r>
      <w:r>
        <w:rPr>
          <w:rFonts w:ascii="Tahoma" w:hAnsi="Tahoma" w:cs="Tahoma"/>
        </w:rPr>
        <w:t>la ESE Hospital San</w:t>
      </w:r>
      <w:r w:rsidR="008D0DCB">
        <w:rPr>
          <w:rFonts w:ascii="Tahoma" w:hAnsi="Tahoma" w:cs="Tahoma"/>
        </w:rPr>
        <w:t xml:space="preserve"> Rafael de El Espinal </w:t>
      </w:r>
      <w:r>
        <w:rPr>
          <w:rFonts w:ascii="Tahoma" w:hAnsi="Tahoma" w:cs="Tahoma"/>
        </w:rPr>
        <w:t xml:space="preserve"> de Honda Tolima</w:t>
      </w:r>
      <w:r w:rsidRPr="00AD4CE9">
        <w:rPr>
          <w:rFonts w:ascii="Tahoma" w:hAnsi="Tahoma" w:cs="Tahoma"/>
        </w:rPr>
        <w:t xml:space="preserve">, el </w:t>
      </w:r>
      <w:r w:rsidR="008D0DCB">
        <w:rPr>
          <w:rFonts w:ascii="Tahoma" w:hAnsi="Tahoma" w:cs="Tahoma"/>
        </w:rPr>
        <w:t xml:space="preserve"> 32.58</w:t>
      </w:r>
      <w:r w:rsidRPr="00AD4CE9">
        <w:rPr>
          <w:rFonts w:ascii="Tahoma" w:hAnsi="Tahoma" w:cs="Tahoma"/>
        </w:rPr>
        <w:t>% está siendo financiado por los acreedores.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Nos muestra hasta qué punto la entidad tiene independencia financiera ante sus acreedores, se determina dividiendo el valor del patrimonio entre el activo total.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8D0DCB">
        <w:rPr>
          <w:rFonts w:ascii="Tahoma" w:hAnsi="Tahoma" w:cs="Tahoma"/>
        </w:rPr>
        <w:t>28.970.508 /$46.251</w:t>
      </w:r>
      <w:r w:rsidR="00762714">
        <w:rPr>
          <w:rFonts w:ascii="Tahoma" w:hAnsi="Tahoma" w:cs="Tahoma"/>
        </w:rPr>
        <w:t>.521</w:t>
      </w:r>
      <w:r w:rsidRPr="00AD4CE9">
        <w:rPr>
          <w:rFonts w:ascii="Tahoma" w:hAnsi="Tahoma" w:cs="Tahoma"/>
        </w:rPr>
        <w:t xml:space="preserve">  </w:t>
      </w:r>
      <w:r w:rsidR="00762714">
        <w:rPr>
          <w:rFonts w:ascii="Tahoma" w:hAnsi="Tahoma" w:cs="Tahoma"/>
        </w:rPr>
        <w:t>= 62.63</w:t>
      </w:r>
      <w:r w:rsidRPr="00AD4CE9">
        <w:rPr>
          <w:rFonts w:ascii="Tahoma" w:hAnsi="Tahoma" w:cs="Tahoma"/>
        </w:rPr>
        <w:t>%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>
        <w:rPr>
          <w:rFonts w:ascii="Tahoma" w:hAnsi="Tahoma" w:cs="Tahoma"/>
        </w:rPr>
        <w:t>nteri</w:t>
      </w:r>
      <w:r w:rsidR="00762714">
        <w:rPr>
          <w:rFonts w:ascii="Tahoma" w:hAnsi="Tahoma" w:cs="Tahoma"/>
        </w:rPr>
        <w:t>ormente nos indica que el  62.63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pStyle w:val="Prrafodelista"/>
        <w:numPr>
          <w:ilvl w:val="0"/>
          <w:numId w:val="12"/>
        </w:numPr>
        <w:overflowPunct/>
        <w:autoSpaceDE/>
        <w:autoSpaceDN/>
        <w:adjustRightInd/>
        <w:spacing w:line="228" w:lineRule="auto"/>
        <w:jc w:val="both"/>
        <w:textAlignment w:val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>
        <w:rPr>
          <w:rFonts w:ascii="Tahoma" w:hAnsi="Tahoma" w:cs="Tahoma"/>
          <w:b/>
        </w:rPr>
        <w:t>BRE LOS ESTADOS FINANCIEROS 2015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La ESE Hospital San </w:t>
      </w:r>
      <w:r w:rsidR="00762714">
        <w:rPr>
          <w:rFonts w:ascii="Tahoma" w:hAnsi="Tahoma" w:cs="Tahoma"/>
        </w:rPr>
        <w:t>Rafael de El Espinal</w:t>
      </w:r>
      <w:r>
        <w:rPr>
          <w:rFonts w:ascii="Tahoma" w:hAnsi="Tahoma" w:cs="Tahoma"/>
        </w:rPr>
        <w:t>, d</w:t>
      </w:r>
      <w:r w:rsidRPr="00AD4CE9">
        <w:rPr>
          <w:rFonts w:ascii="Tahoma" w:hAnsi="Tahoma" w:cs="Tahoma"/>
        </w:rPr>
        <w:t>e acuerdo con su Balanc</w:t>
      </w:r>
      <w:r>
        <w:rPr>
          <w:rFonts w:ascii="Tahoma" w:hAnsi="Tahoma" w:cs="Tahoma"/>
        </w:rPr>
        <w:t>e General terminado en la fecha 31 de diciembre de 2015,</w:t>
      </w:r>
      <w:r w:rsidRPr="00AD4CE9">
        <w:rPr>
          <w:rFonts w:ascii="Tahoma" w:hAnsi="Tahoma" w:cs="Tahoma"/>
        </w:rPr>
        <w:t xml:space="preserve"> se observa que sus activos totales crecieron un </w:t>
      </w:r>
      <w:r w:rsidR="00762714">
        <w:rPr>
          <w:rFonts w:ascii="Tahoma" w:hAnsi="Tahoma" w:cs="Tahoma"/>
        </w:rPr>
        <w:t>31.41</w:t>
      </w:r>
      <w:r>
        <w:rPr>
          <w:rFonts w:ascii="Tahoma" w:hAnsi="Tahoma" w:cs="Tahoma"/>
        </w:rPr>
        <w:t xml:space="preserve">% </w:t>
      </w:r>
      <w:r w:rsidR="006841D3">
        <w:rPr>
          <w:rFonts w:ascii="Tahoma" w:hAnsi="Tahoma" w:cs="Tahoma"/>
        </w:rPr>
        <w:t>en la suma de  $11.055,6 millones</w:t>
      </w:r>
      <w:r>
        <w:rPr>
          <w:rFonts w:ascii="Tahoma" w:hAnsi="Tahoma" w:cs="Tahoma"/>
        </w:rPr>
        <w:t>, con relación al periodo 2014.</w:t>
      </w:r>
      <w:r w:rsidRPr="00AD4CE9">
        <w:rPr>
          <w:rFonts w:ascii="Tahoma" w:hAnsi="Tahoma" w:cs="Tahoma"/>
        </w:rPr>
        <w:t xml:space="preserve"> </w:t>
      </w:r>
    </w:p>
    <w:p w:rsidR="00B623E4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Default="006841D3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18.47</w:t>
      </w:r>
      <w:r w:rsidR="00B623E4" w:rsidRPr="00AD4CE9">
        <w:rPr>
          <w:rFonts w:ascii="Tahoma" w:hAnsi="Tahoma" w:cs="Tahoma"/>
        </w:rPr>
        <w:t>%, apalancado princip</w:t>
      </w:r>
      <w:r w:rsidR="00B623E4">
        <w:rPr>
          <w:rFonts w:ascii="Tahoma" w:hAnsi="Tahoma" w:cs="Tahoma"/>
        </w:rPr>
        <w:t xml:space="preserve">almente </w:t>
      </w:r>
      <w:r>
        <w:rPr>
          <w:rFonts w:ascii="Tahoma" w:hAnsi="Tahoma" w:cs="Tahoma"/>
        </w:rPr>
        <w:t>por la cuenta “Resultado del Ejercicios anteriores y Resultado del Ejercicio</w:t>
      </w:r>
      <w:r w:rsidR="00B623E4">
        <w:rPr>
          <w:rFonts w:ascii="Tahoma" w:hAnsi="Tahoma" w:cs="Tahoma"/>
        </w:rPr>
        <w:t>” que  finalizó la anualidad 2015, con un</w:t>
      </w:r>
      <w:r>
        <w:rPr>
          <w:rFonts w:ascii="Tahoma" w:hAnsi="Tahoma" w:cs="Tahoma"/>
        </w:rPr>
        <w:t xml:space="preserve"> saldo de $13.774,2 y un </w:t>
      </w:r>
      <w:r w:rsidR="00B623E4">
        <w:rPr>
          <w:rFonts w:ascii="Tahoma" w:hAnsi="Tahoma" w:cs="Tahoma"/>
        </w:rPr>
        <w:t xml:space="preserve"> excedente en </w:t>
      </w:r>
      <w:r>
        <w:rPr>
          <w:rFonts w:ascii="Tahoma" w:hAnsi="Tahoma" w:cs="Tahoma"/>
        </w:rPr>
        <w:t>el periodo contable  de $4.461,3</w:t>
      </w:r>
      <w:r w:rsidR="00B623E4">
        <w:rPr>
          <w:rFonts w:ascii="Tahoma" w:hAnsi="Tahoma" w:cs="Tahoma"/>
        </w:rPr>
        <w:t xml:space="preserve"> millones después de habe</w:t>
      </w:r>
      <w:r>
        <w:rPr>
          <w:rFonts w:ascii="Tahoma" w:hAnsi="Tahoma" w:cs="Tahoma"/>
        </w:rPr>
        <w:t>r finalizado el 2014 en $3.135,7</w:t>
      </w:r>
      <w:r w:rsidR="00B623E4">
        <w:rPr>
          <w:rFonts w:ascii="Tahoma" w:hAnsi="Tahoma" w:cs="Tahoma"/>
        </w:rPr>
        <w:t xml:space="preserve"> millones.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>
        <w:rPr>
          <w:rFonts w:ascii="Tahoma" w:hAnsi="Tahoma" w:cs="Tahoma"/>
        </w:rPr>
        <w:t>cierre del periodo contable 2015,</w:t>
      </w:r>
      <w:r w:rsidR="006841D3">
        <w:rPr>
          <w:rFonts w:ascii="Tahoma" w:hAnsi="Tahoma" w:cs="Tahoma"/>
        </w:rPr>
        <w:t xml:space="preserve"> estaba representada en el 37.36% los pasivos y el 62.63</w:t>
      </w:r>
      <w:r w:rsidRPr="00AD4CE9">
        <w:rPr>
          <w:rFonts w:ascii="Tahoma" w:hAnsi="Tahoma" w:cs="Tahoma"/>
        </w:rPr>
        <w:t>% el patrimonio.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entidad </w:t>
      </w:r>
      <w:r w:rsidRPr="00AD4CE9">
        <w:rPr>
          <w:rFonts w:ascii="Tahoma" w:hAnsi="Tahoma" w:cs="Tahoma"/>
        </w:rPr>
        <w:t xml:space="preserve"> present</w:t>
      </w:r>
      <w:r>
        <w:rPr>
          <w:rFonts w:ascii="Tahoma" w:hAnsi="Tahoma" w:cs="Tahoma"/>
        </w:rPr>
        <w:t>a un nivel de endeudamiento medio</w:t>
      </w:r>
      <w:r w:rsidRPr="00AD4CE9">
        <w:rPr>
          <w:rFonts w:ascii="Tahoma" w:hAnsi="Tahoma" w:cs="Tahoma"/>
        </w:rPr>
        <w:t xml:space="preserve"> respecto al total de sus activos, alcanzando un margen del </w:t>
      </w:r>
      <w:r w:rsidR="006841D3">
        <w:rPr>
          <w:rFonts w:ascii="Tahoma" w:hAnsi="Tahoma" w:cs="Tahoma"/>
        </w:rPr>
        <w:t>32.58</w:t>
      </w:r>
      <w:r w:rsidRPr="00AD4CE9">
        <w:rPr>
          <w:rFonts w:ascii="Tahoma" w:hAnsi="Tahoma" w:cs="Tahoma"/>
        </w:rPr>
        <w:t>%.</w:t>
      </w: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</w:p>
    <w:p w:rsidR="00B623E4" w:rsidRPr="00AD4CE9" w:rsidRDefault="00B623E4" w:rsidP="00B623E4">
      <w:pPr>
        <w:spacing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 acuerdo con los resultados de sus indicadores podemo</w:t>
      </w:r>
      <w:r>
        <w:rPr>
          <w:rFonts w:ascii="Tahoma" w:hAnsi="Tahoma" w:cs="Tahoma"/>
        </w:rPr>
        <w:t xml:space="preserve">s concluir que la ESE Hospital San </w:t>
      </w:r>
      <w:r w:rsidR="006841D3">
        <w:rPr>
          <w:rFonts w:ascii="Tahoma" w:hAnsi="Tahoma" w:cs="Tahoma"/>
        </w:rPr>
        <w:t xml:space="preserve"> Rafael de El Espinal</w:t>
      </w:r>
      <w:r>
        <w:rPr>
          <w:rFonts w:ascii="Tahoma" w:hAnsi="Tahoma" w:cs="Tahoma"/>
        </w:rPr>
        <w:t xml:space="preserve">,   </w:t>
      </w:r>
      <w:r w:rsidRPr="00AD4CE9">
        <w:rPr>
          <w:rFonts w:ascii="Tahoma" w:hAnsi="Tahoma" w:cs="Tahoma"/>
        </w:rPr>
        <w:t>al corte del 3</w:t>
      </w:r>
      <w:r>
        <w:rPr>
          <w:rFonts w:ascii="Tahoma" w:hAnsi="Tahoma" w:cs="Tahoma"/>
        </w:rPr>
        <w:t>1 de diciembre de 2015</w:t>
      </w:r>
      <w:r w:rsidRPr="00AD4CE9">
        <w:rPr>
          <w:rFonts w:ascii="Tahoma" w:hAnsi="Tahoma" w:cs="Tahoma"/>
        </w:rPr>
        <w:t>, presentaba una situación financiera favorable.</w:t>
      </w:r>
    </w:p>
    <w:p w:rsidR="00B623E4" w:rsidRDefault="00B623E4" w:rsidP="00B623E4">
      <w:pPr>
        <w:spacing w:line="228" w:lineRule="auto"/>
        <w:rPr>
          <w:noProof/>
        </w:rPr>
      </w:pPr>
    </w:p>
    <w:p w:rsidR="00B623E4" w:rsidRDefault="00B623E4" w:rsidP="00B623E4">
      <w:pPr>
        <w:spacing w:line="228" w:lineRule="auto"/>
        <w:rPr>
          <w:noProof/>
        </w:rPr>
      </w:pPr>
    </w:p>
    <w:p w:rsidR="00B623E4" w:rsidRDefault="00B623E4" w:rsidP="00B623E4">
      <w:pPr>
        <w:spacing w:line="228" w:lineRule="auto"/>
        <w:rPr>
          <w:noProof/>
        </w:rPr>
      </w:pPr>
    </w:p>
    <w:p w:rsidR="00B623E4" w:rsidRDefault="00B623E4" w:rsidP="00B623E4">
      <w:pPr>
        <w:spacing w:line="228" w:lineRule="auto"/>
        <w:rPr>
          <w:noProof/>
        </w:rPr>
      </w:pPr>
    </w:p>
    <w:p w:rsidR="00B623E4" w:rsidRDefault="00B623E4" w:rsidP="00B623E4">
      <w:pPr>
        <w:spacing w:line="228" w:lineRule="auto"/>
        <w:rPr>
          <w:noProof/>
        </w:rPr>
      </w:pPr>
    </w:p>
    <w:p w:rsidR="00B623E4" w:rsidRPr="00BF5484" w:rsidRDefault="00B623E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F5484" w:rsidRPr="00BF5484" w:rsidRDefault="00BF548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F5484" w:rsidRPr="00BF5484" w:rsidRDefault="00BF548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BF5484" w:rsidRDefault="00BF5484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FF24DA" w:rsidRDefault="00FF24DA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p w:rsidR="00DC6CC7" w:rsidRDefault="00DC6CC7" w:rsidP="00BF5484">
      <w:pPr>
        <w:overflowPunct/>
        <w:autoSpaceDE/>
        <w:autoSpaceDN/>
        <w:adjustRightInd/>
        <w:spacing w:line="228" w:lineRule="auto"/>
        <w:textAlignment w:val="auto"/>
        <w:rPr>
          <w:rFonts w:ascii="Tahoma" w:eastAsia="Arial" w:hAnsi="Tahoma" w:cs="Tahoma"/>
          <w:noProof/>
          <w:color w:val="000000"/>
          <w:sz w:val="22"/>
          <w:szCs w:val="22"/>
          <w:lang w:eastAsia="es-CO"/>
        </w:rPr>
      </w:pPr>
    </w:p>
    <w:sectPr w:rsidR="00DC6CC7" w:rsidSect="00493B54">
      <w:headerReference w:type="default" r:id="rId12"/>
      <w:footerReference w:type="default" r:id="rId13"/>
      <w:pgSz w:w="12240" w:h="15840" w:code="1"/>
      <w:pgMar w:top="2340" w:right="1418" w:bottom="2268" w:left="175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3B7" w:rsidRDefault="00C813B7" w:rsidP="00650A99">
      <w:r>
        <w:separator/>
      </w:r>
    </w:p>
  </w:endnote>
  <w:endnote w:type="continuationSeparator" w:id="0">
    <w:p w:rsidR="00C813B7" w:rsidRDefault="00C813B7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46E" w:rsidRDefault="006C646E" w:rsidP="00650A99">
    <w:pPr>
      <w:pStyle w:val="Piedepgina"/>
      <w:jc w:val="center"/>
      <w:rPr>
        <w:rFonts w:cs="Arial"/>
        <w:sz w:val="20"/>
      </w:rPr>
    </w:pPr>
    <w:r>
      <w:rPr>
        <w:rFonts w:cs="Arial"/>
        <w:sz w:val="20"/>
      </w:rPr>
      <w:t>______________________________________________________________</w:t>
    </w:r>
  </w:p>
  <w:p w:rsidR="006C646E" w:rsidRPr="002059E3" w:rsidRDefault="006C646E" w:rsidP="00650A99">
    <w:pPr>
      <w:pStyle w:val="Piedepgina"/>
      <w:jc w:val="center"/>
      <w:rPr>
        <w:rFonts w:cs="Arial"/>
        <w:sz w:val="20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044FA5E" wp14:editId="4145B1F4">
              <wp:simplePos x="0" y="0"/>
              <wp:positionH relativeFrom="column">
                <wp:posOffset>4246245</wp:posOffset>
              </wp:positionH>
              <wp:positionV relativeFrom="paragraph">
                <wp:posOffset>114300</wp:posOffset>
              </wp:positionV>
              <wp:extent cx="2302510" cy="955040"/>
              <wp:effectExtent l="0" t="0" r="0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2510" cy="9550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C646E" w:rsidRDefault="006C646E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34.35pt;margin-top:9pt;width:181.3pt;height:75.2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" filled="f" stroked="f">
              <v:textbox style="mso-fit-shape-to-text:t">
                <w:txbxContent>
                  <w:p w:rsidR="006C646E" w:rsidRDefault="006C646E"/>
                </w:txbxContent>
              </v:textbox>
            </v:shape>
          </w:pict>
        </mc:Fallback>
      </mc:AlternateContent>
    </w:r>
    <w:r w:rsidRPr="002059E3">
      <w:rPr>
        <w:rFonts w:cs="Arial"/>
        <w:sz w:val="20"/>
      </w:rPr>
      <w:t xml:space="preserve">Edificio Gobernación del Tolima Piso 7 </w:t>
    </w:r>
    <w:r>
      <w:rPr>
        <w:rFonts w:cs="Arial"/>
        <w:sz w:val="20"/>
      </w:rPr>
      <w:t xml:space="preserve">- </w:t>
    </w:r>
    <w:r w:rsidRPr="002059E3">
      <w:rPr>
        <w:rFonts w:cs="Arial"/>
        <w:sz w:val="20"/>
      </w:rPr>
      <w:t>Conmutador 2 61 11 67 Ibagué</w:t>
    </w:r>
  </w:p>
  <w:p w:rsidR="006C646E" w:rsidRPr="002059E3" w:rsidRDefault="006C646E" w:rsidP="00650A99">
    <w:pPr>
      <w:pStyle w:val="Piedepgina"/>
      <w:jc w:val="center"/>
      <w:rPr>
        <w:rFonts w:cs="Arial"/>
        <w:sz w:val="20"/>
        <w:lang w:val="en-US"/>
      </w:rPr>
    </w:pPr>
    <w:r w:rsidRPr="002059E3">
      <w:rPr>
        <w:rFonts w:cs="Arial"/>
        <w:sz w:val="20"/>
        <w:lang w:val="en-US"/>
      </w:rPr>
      <w:t xml:space="preserve">Web-site: </w:t>
    </w:r>
    <w:r w:rsidR="00C813B7">
      <w:fldChar w:fldCharType="begin"/>
    </w:r>
    <w:r w:rsidR="00C813B7" w:rsidRPr="00493B54">
      <w:rPr>
        <w:lang w:val="en-US"/>
      </w:rPr>
      <w:instrText xml:space="preserve"> HYPERLINK "http://www.contraloriatolima.gov.co" </w:instrText>
    </w:r>
    <w:r w:rsidR="00C813B7">
      <w:fldChar w:fldCharType="separate"/>
    </w:r>
    <w:r w:rsidRPr="00650A99">
      <w:rPr>
        <w:rStyle w:val="Hipervnculo"/>
        <w:rFonts w:cs="Arial"/>
        <w:color w:val="auto"/>
        <w:sz w:val="20"/>
        <w:u w:val="none"/>
        <w:lang w:val="en-US"/>
      </w:rPr>
      <w:t>www.contraloriatolima.gov.co</w:t>
    </w:r>
    <w:r w:rsidR="00C813B7">
      <w:rPr>
        <w:rStyle w:val="Hipervnculo"/>
        <w:rFonts w:cs="Arial"/>
        <w:color w:val="auto"/>
        <w:sz w:val="20"/>
        <w:u w:val="none"/>
        <w:lang w:val="en-US"/>
      </w:rPr>
      <w:fldChar w:fldCharType="end"/>
    </w:r>
  </w:p>
  <w:p w:rsidR="006C646E" w:rsidRPr="0070120A" w:rsidRDefault="006C646E">
    <w:pPr>
      <w:pStyle w:val="Piedepgina"/>
      <w:rPr>
        <w:lang w:val="en-US"/>
      </w:rPr>
    </w:pPr>
    <w:r>
      <w:rPr>
        <w:lang w:val="en-US"/>
      </w:rPr>
      <w:t xml:space="preserve">                        </w:t>
    </w:r>
    <w:r>
      <w:rPr>
        <w:lang w:val="en-US"/>
      </w:rPr>
      <w:tab/>
    </w:r>
    <w:r>
      <w:rPr>
        <w:lang w:val="en-US"/>
      </w:rPr>
      <w:tab/>
      <w:t xml:space="preserve">                     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3B7" w:rsidRDefault="00C813B7" w:rsidP="00650A99">
      <w:r>
        <w:separator/>
      </w:r>
    </w:p>
  </w:footnote>
  <w:footnote w:type="continuationSeparator" w:id="0">
    <w:p w:rsidR="00C813B7" w:rsidRDefault="00C813B7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B54" w:rsidRDefault="006C646E">
    <w:pPr>
      <w:pStyle w:val="Encabezado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C65A417" wp14:editId="3254CD9D">
              <wp:simplePos x="0" y="0"/>
              <wp:positionH relativeFrom="column">
                <wp:posOffset>5981700</wp:posOffset>
              </wp:positionH>
              <wp:positionV relativeFrom="paragraph">
                <wp:posOffset>2516505</wp:posOffset>
              </wp:positionV>
              <wp:extent cx="772795" cy="5320030"/>
              <wp:effectExtent l="0" t="0" r="0" b="508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2795" cy="5320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C646E" w:rsidRDefault="006C646E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71pt;margin-top:198.15pt;width:60.85pt;height:418.9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" filled="f" stroked="f">
              <v:textbox style="mso-fit-shape-to-text:t">
                <w:txbxContent>
                  <w:p w:rsidR="006C646E" w:rsidRDefault="006C646E"/>
                </w:txbxContent>
              </v:textbox>
            </v:shape>
          </w:pict>
        </mc:Fallback>
      </mc:AlternateContent>
    </w:r>
  </w:p>
  <w:p w:rsidR="006C646E" w:rsidRDefault="00493B54">
    <w:pPr>
      <w:pStyle w:val="Encabezado"/>
    </w:pPr>
    <w:r>
      <w:rPr>
        <w:noProof/>
        <w:lang w:eastAsia="es-CO"/>
      </w:rPr>
      <w:drawing>
        <wp:inline distT="0" distB="0" distL="0" distR="0" wp14:anchorId="7A60CFE8" wp14:editId="6F14E93F">
          <wp:extent cx="1419225" cy="1114425"/>
          <wp:effectExtent l="0" t="0" r="9525" b="952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111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4A86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17927A80"/>
    <w:multiLevelType w:val="hybridMultilevel"/>
    <w:tmpl w:val="B220F46E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922B2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78422C0"/>
    <w:multiLevelType w:val="hybridMultilevel"/>
    <w:tmpl w:val="920E93BE"/>
    <w:lvl w:ilvl="0" w:tplc="579A02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611DE"/>
    <w:multiLevelType w:val="hybridMultilevel"/>
    <w:tmpl w:val="2FE027E4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A5982"/>
    <w:multiLevelType w:val="hybridMultilevel"/>
    <w:tmpl w:val="4816C7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F467D"/>
    <w:multiLevelType w:val="hybridMultilevel"/>
    <w:tmpl w:val="DEB09BFE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6C0D7B69"/>
    <w:multiLevelType w:val="hybridMultilevel"/>
    <w:tmpl w:val="B3346AAC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2346FF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75260F29"/>
    <w:multiLevelType w:val="hybridMultilevel"/>
    <w:tmpl w:val="B91034D4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01466A"/>
    <w:multiLevelType w:val="hybridMultilevel"/>
    <w:tmpl w:val="02582F7A"/>
    <w:lvl w:ilvl="0" w:tplc="240A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10"/>
  </w:num>
  <w:num w:numId="7">
    <w:abstractNumId w:val="6"/>
  </w:num>
  <w:num w:numId="8">
    <w:abstractNumId w:val="1"/>
  </w:num>
  <w:num w:numId="9">
    <w:abstractNumId w:val="7"/>
  </w:num>
  <w:num w:numId="10">
    <w:abstractNumId w:val="9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0A8D"/>
    <w:rsid w:val="00000B8E"/>
    <w:rsid w:val="000019BB"/>
    <w:rsid w:val="00003469"/>
    <w:rsid w:val="00004EFE"/>
    <w:rsid w:val="000072CF"/>
    <w:rsid w:val="000117D2"/>
    <w:rsid w:val="000130C3"/>
    <w:rsid w:val="00014ACF"/>
    <w:rsid w:val="000217D4"/>
    <w:rsid w:val="00021A39"/>
    <w:rsid w:val="00027130"/>
    <w:rsid w:val="000361BF"/>
    <w:rsid w:val="0004099C"/>
    <w:rsid w:val="00041446"/>
    <w:rsid w:val="000535CD"/>
    <w:rsid w:val="0007160A"/>
    <w:rsid w:val="00074463"/>
    <w:rsid w:val="0007576E"/>
    <w:rsid w:val="00076BDD"/>
    <w:rsid w:val="00081740"/>
    <w:rsid w:val="000821B0"/>
    <w:rsid w:val="000838AC"/>
    <w:rsid w:val="00090716"/>
    <w:rsid w:val="00090B89"/>
    <w:rsid w:val="00093F81"/>
    <w:rsid w:val="000958F8"/>
    <w:rsid w:val="000A21B0"/>
    <w:rsid w:val="000A35EE"/>
    <w:rsid w:val="000A663C"/>
    <w:rsid w:val="000A700E"/>
    <w:rsid w:val="000A7378"/>
    <w:rsid w:val="000B2584"/>
    <w:rsid w:val="000C09CE"/>
    <w:rsid w:val="000C640F"/>
    <w:rsid w:val="000D0047"/>
    <w:rsid w:val="000D1303"/>
    <w:rsid w:val="000D2EBC"/>
    <w:rsid w:val="000D715E"/>
    <w:rsid w:val="000F10AA"/>
    <w:rsid w:val="000F44CF"/>
    <w:rsid w:val="00104CEB"/>
    <w:rsid w:val="00112B99"/>
    <w:rsid w:val="00113CF5"/>
    <w:rsid w:val="00113DE4"/>
    <w:rsid w:val="001161F0"/>
    <w:rsid w:val="00121180"/>
    <w:rsid w:val="0012306F"/>
    <w:rsid w:val="001516AB"/>
    <w:rsid w:val="001519FB"/>
    <w:rsid w:val="00152640"/>
    <w:rsid w:val="00157288"/>
    <w:rsid w:val="0016040E"/>
    <w:rsid w:val="00162CEF"/>
    <w:rsid w:val="00163002"/>
    <w:rsid w:val="00174E6E"/>
    <w:rsid w:val="001805CB"/>
    <w:rsid w:val="00182A35"/>
    <w:rsid w:val="00183C1E"/>
    <w:rsid w:val="001841A6"/>
    <w:rsid w:val="00185C21"/>
    <w:rsid w:val="001938E9"/>
    <w:rsid w:val="00194373"/>
    <w:rsid w:val="001A20F2"/>
    <w:rsid w:val="001A3545"/>
    <w:rsid w:val="001A5473"/>
    <w:rsid w:val="001A61B3"/>
    <w:rsid w:val="001A7189"/>
    <w:rsid w:val="001B1DB0"/>
    <w:rsid w:val="001B5B29"/>
    <w:rsid w:val="001B7A73"/>
    <w:rsid w:val="001C0B81"/>
    <w:rsid w:val="001C79A8"/>
    <w:rsid w:val="001D3C2E"/>
    <w:rsid w:val="001D660F"/>
    <w:rsid w:val="001E14B0"/>
    <w:rsid w:val="001E7AB9"/>
    <w:rsid w:val="001F3C0E"/>
    <w:rsid w:val="002069BC"/>
    <w:rsid w:val="002073DA"/>
    <w:rsid w:val="0021591A"/>
    <w:rsid w:val="00220B24"/>
    <w:rsid w:val="00221713"/>
    <w:rsid w:val="00235817"/>
    <w:rsid w:val="00250B2A"/>
    <w:rsid w:val="00255576"/>
    <w:rsid w:val="00257814"/>
    <w:rsid w:val="002635A9"/>
    <w:rsid w:val="00263CD8"/>
    <w:rsid w:val="00274C25"/>
    <w:rsid w:val="00275575"/>
    <w:rsid w:val="002850B9"/>
    <w:rsid w:val="00286913"/>
    <w:rsid w:val="002926DD"/>
    <w:rsid w:val="00293B22"/>
    <w:rsid w:val="00294220"/>
    <w:rsid w:val="002A42D6"/>
    <w:rsid w:val="002A4F19"/>
    <w:rsid w:val="002A7D28"/>
    <w:rsid w:val="002B4A1D"/>
    <w:rsid w:val="002B58D3"/>
    <w:rsid w:val="002B6196"/>
    <w:rsid w:val="002B72C0"/>
    <w:rsid w:val="002C24CB"/>
    <w:rsid w:val="002C5659"/>
    <w:rsid w:val="002D7ABD"/>
    <w:rsid w:val="002E0A85"/>
    <w:rsid w:val="002E0CD6"/>
    <w:rsid w:val="002E149D"/>
    <w:rsid w:val="002E35FF"/>
    <w:rsid w:val="002F1CDE"/>
    <w:rsid w:val="002F2963"/>
    <w:rsid w:val="002F450A"/>
    <w:rsid w:val="003026A2"/>
    <w:rsid w:val="00311E11"/>
    <w:rsid w:val="0031353A"/>
    <w:rsid w:val="00330D9F"/>
    <w:rsid w:val="00332DE4"/>
    <w:rsid w:val="00336502"/>
    <w:rsid w:val="0034307B"/>
    <w:rsid w:val="00345DA3"/>
    <w:rsid w:val="00355DEA"/>
    <w:rsid w:val="003676BD"/>
    <w:rsid w:val="00372B52"/>
    <w:rsid w:val="0039028E"/>
    <w:rsid w:val="00393268"/>
    <w:rsid w:val="00396B50"/>
    <w:rsid w:val="003A30FD"/>
    <w:rsid w:val="003B2A90"/>
    <w:rsid w:val="003B4724"/>
    <w:rsid w:val="003B4888"/>
    <w:rsid w:val="003C2A09"/>
    <w:rsid w:val="003C2A41"/>
    <w:rsid w:val="003C2D61"/>
    <w:rsid w:val="003C593C"/>
    <w:rsid w:val="003C752B"/>
    <w:rsid w:val="003D6671"/>
    <w:rsid w:val="003F0ACE"/>
    <w:rsid w:val="003F2976"/>
    <w:rsid w:val="003F34BF"/>
    <w:rsid w:val="00407637"/>
    <w:rsid w:val="0041524D"/>
    <w:rsid w:val="00417199"/>
    <w:rsid w:val="004241DF"/>
    <w:rsid w:val="004323B1"/>
    <w:rsid w:val="0043253D"/>
    <w:rsid w:val="00445C89"/>
    <w:rsid w:val="00450899"/>
    <w:rsid w:val="00452199"/>
    <w:rsid w:val="00453D55"/>
    <w:rsid w:val="004578CD"/>
    <w:rsid w:val="00461E50"/>
    <w:rsid w:val="004660F0"/>
    <w:rsid w:val="00467508"/>
    <w:rsid w:val="00487A7E"/>
    <w:rsid w:val="00490DF5"/>
    <w:rsid w:val="00493B54"/>
    <w:rsid w:val="00495DA5"/>
    <w:rsid w:val="004A5FE3"/>
    <w:rsid w:val="004A734B"/>
    <w:rsid w:val="004B15B3"/>
    <w:rsid w:val="004B5EDD"/>
    <w:rsid w:val="004C165C"/>
    <w:rsid w:val="004C250E"/>
    <w:rsid w:val="004C27B6"/>
    <w:rsid w:val="004C785D"/>
    <w:rsid w:val="004D14D1"/>
    <w:rsid w:val="004D35FA"/>
    <w:rsid w:val="004D3A1F"/>
    <w:rsid w:val="004D4F03"/>
    <w:rsid w:val="004E02C0"/>
    <w:rsid w:val="004E07C8"/>
    <w:rsid w:val="004E0F8B"/>
    <w:rsid w:val="004E3E8F"/>
    <w:rsid w:val="004E40C2"/>
    <w:rsid w:val="004F1A7B"/>
    <w:rsid w:val="00504D33"/>
    <w:rsid w:val="005061FB"/>
    <w:rsid w:val="0050697C"/>
    <w:rsid w:val="00510E7C"/>
    <w:rsid w:val="0051243E"/>
    <w:rsid w:val="00514297"/>
    <w:rsid w:val="00516E68"/>
    <w:rsid w:val="00525494"/>
    <w:rsid w:val="005263C4"/>
    <w:rsid w:val="005269D1"/>
    <w:rsid w:val="005279E8"/>
    <w:rsid w:val="00534CCA"/>
    <w:rsid w:val="005403FC"/>
    <w:rsid w:val="00543B53"/>
    <w:rsid w:val="005476F8"/>
    <w:rsid w:val="005717BB"/>
    <w:rsid w:val="00577E22"/>
    <w:rsid w:val="00585ED0"/>
    <w:rsid w:val="005916D2"/>
    <w:rsid w:val="005A195E"/>
    <w:rsid w:val="005A229D"/>
    <w:rsid w:val="005A44C1"/>
    <w:rsid w:val="005B1D03"/>
    <w:rsid w:val="005B3C82"/>
    <w:rsid w:val="005B4176"/>
    <w:rsid w:val="005B6F12"/>
    <w:rsid w:val="005B78F1"/>
    <w:rsid w:val="005C03F3"/>
    <w:rsid w:val="005C0510"/>
    <w:rsid w:val="005C3F52"/>
    <w:rsid w:val="005D3820"/>
    <w:rsid w:val="005D3B86"/>
    <w:rsid w:val="005D522A"/>
    <w:rsid w:val="005E3E06"/>
    <w:rsid w:val="005E6651"/>
    <w:rsid w:val="005F79D0"/>
    <w:rsid w:val="0060098E"/>
    <w:rsid w:val="00603A5B"/>
    <w:rsid w:val="00610738"/>
    <w:rsid w:val="006119D2"/>
    <w:rsid w:val="00611CD4"/>
    <w:rsid w:val="00620019"/>
    <w:rsid w:val="0064258A"/>
    <w:rsid w:val="00647501"/>
    <w:rsid w:val="00647C52"/>
    <w:rsid w:val="00650A99"/>
    <w:rsid w:val="00651656"/>
    <w:rsid w:val="0066510A"/>
    <w:rsid w:val="006657DE"/>
    <w:rsid w:val="00666D64"/>
    <w:rsid w:val="00670BFD"/>
    <w:rsid w:val="00670D69"/>
    <w:rsid w:val="00671108"/>
    <w:rsid w:val="006721B9"/>
    <w:rsid w:val="00672722"/>
    <w:rsid w:val="00682D86"/>
    <w:rsid w:val="006841D3"/>
    <w:rsid w:val="0068585F"/>
    <w:rsid w:val="00695308"/>
    <w:rsid w:val="00697DBE"/>
    <w:rsid w:val="006A0986"/>
    <w:rsid w:val="006A0C9D"/>
    <w:rsid w:val="006A2B08"/>
    <w:rsid w:val="006A644E"/>
    <w:rsid w:val="006A7F84"/>
    <w:rsid w:val="006B1954"/>
    <w:rsid w:val="006B2D4A"/>
    <w:rsid w:val="006C646E"/>
    <w:rsid w:val="006D2B4A"/>
    <w:rsid w:val="006E67AA"/>
    <w:rsid w:val="006F60C7"/>
    <w:rsid w:val="006F7409"/>
    <w:rsid w:val="0070120A"/>
    <w:rsid w:val="00702EBF"/>
    <w:rsid w:val="00704A4B"/>
    <w:rsid w:val="00711D75"/>
    <w:rsid w:val="00715C57"/>
    <w:rsid w:val="00716D8B"/>
    <w:rsid w:val="0072625D"/>
    <w:rsid w:val="007332AA"/>
    <w:rsid w:val="007437D3"/>
    <w:rsid w:val="007477E5"/>
    <w:rsid w:val="0075442C"/>
    <w:rsid w:val="00760EB4"/>
    <w:rsid w:val="00762714"/>
    <w:rsid w:val="00776F62"/>
    <w:rsid w:val="0077701F"/>
    <w:rsid w:val="007865C6"/>
    <w:rsid w:val="0078696E"/>
    <w:rsid w:val="007912E3"/>
    <w:rsid w:val="00794564"/>
    <w:rsid w:val="00797898"/>
    <w:rsid w:val="007A1260"/>
    <w:rsid w:val="007B70F7"/>
    <w:rsid w:val="007C31D2"/>
    <w:rsid w:val="007D0E2B"/>
    <w:rsid w:val="007D1DDA"/>
    <w:rsid w:val="007D58CA"/>
    <w:rsid w:val="007D70DE"/>
    <w:rsid w:val="007F2EE4"/>
    <w:rsid w:val="007F5F77"/>
    <w:rsid w:val="00802A37"/>
    <w:rsid w:val="00803A7B"/>
    <w:rsid w:val="008107C3"/>
    <w:rsid w:val="008138A1"/>
    <w:rsid w:val="00815D8C"/>
    <w:rsid w:val="00821F08"/>
    <w:rsid w:val="00823FDF"/>
    <w:rsid w:val="00825477"/>
    <w:rsid w:val="00833641"/>
    <w:rsid w:val="008378AE"/>
    <w:rsid w:val="00851407"/>
    <w:rsid w:val="00852E5E"/>
    <w:rsid w:val="00860564"/>
    <w:rsid w:val="008642AA"/>
    <w:rsid w:val="00864D05"/>
    <w:rsid w:val="0087550C"/>
    <w:rsid w:val="008764E7"/>
    <w:rsid w:val="008771E2"/>
    <w:rsid w:val="008825A8"/>
    <w:rsid w:val="00882C42"/>
    <w:rsid w:val="00885BB4"/>
    <w:rsid w:val="00886FEF"/>
    <w:rsid w:val="00890A2C"/>
    <w:rsid w:val="0089470E"/>
    <w:rsid w:val="008A74A1"/>
    <w:rsid w:val="008B5141"/>
    <w:rsid w:val="008C04B8"/>
    <w:rsid w:val="008C2E42"/>
    <w:rsid w:val="008C6D0A"/>
    <w:rsid w:val="008D0DCB"/>
    <w:rsid w:val="008E126F"/>
    <w:rsid w:val="008F3A72"/>
    <w:rsid w:val="00903AE4"/>
    <w:rsid w:val="009108B1"/>
    <w:rsid w:val="0091158B"/>
    <w:rsid w:val="0091337D"/>
    <w:rsid w:val="009150E9"/>
    <w:rsid w:val="00925480"/>
    <w:rsid w:val="00927A95"/>
    <w:rsid w:val="00934CE3"/>
    <w:rsid w:val="0093672C"/>
    <w:rsid w:val="00945175"/>
    <w:rsid w:val="00950209"/>
    <w:rsid w:val="0095021B"/>
    <w:rsid w:val="00950601"/>
    <w:rsid w:val="00950BBC"/>
    <w:rsid w:val="0096112B"/>
    <w:rsid w:val="00963ECC"/>
    <w:rsid w:val="00964213"/>
    <w:rsid w:val="009645FB"/>
    <w:rsid w:val="00966EAD"/>
    <w:rsid w:val="009714D1"/>
    <w:rsid w:val="00975B51"/>
    <w:rsid w:val="009819A5"/>
    <w:rsid w:val="00985D37"/>
    <w:rsid w:val="00990B51"/>
    <w:rsid w:val="009A0306"/>
    <w:rsid w:val="009C00BC"/>
    <w:rsid w:val="009C651F"/>
    <w:rsid w:val="009C7179"/>
    <w:rsid w:val="009D2F7D"/>
    <w:rsid w:val="009D77B3"/>
    <w:rsid w:val="009E1898"/>
    <w:rsid w:val="009E1D85"/>
    <w:rsid w:val="009E6B7E"/>
    <w:rsid w:val="009F1361"/>
    <w:rsid w:val="009F3906"/>
    <w:rsid w:val="009F3EB0"/>
    <w:rsid w:val="009F4E81"/>
    <w:rsid w:val="009F69C9"/>
    <w:rsid w:val="00A00342"/>
    <w:rsid w:val="00A02A1D"/>
    <w:rsid w:val="00A160FC"/>
    <w:rsid w:val="00A239C9"/>
    <w:rsid w:val="00A26EBF"/>
    <w:rsid w:val="00A32B75"/>
    <w:rsid w:val="00A34FD5"/>
    <w:rsid w:val="00A3768F"/>
    <w:rsid w:val="00A4313F"/>
    <w:rsid w:val="00A4661C"/>
    <w:rsid w:val="00A61A49"/>
    <w:rsid w:val="00A63883"/>
    <w:rsid w:val="00A82806"/>
    <w:rsid w:val="00A8655D"/>
    <w:rsid w:val="00AA20A8"/>
    <w:rsid w:val="00AA75DD"/>
    <w:rsid w:val="00AA7C31"/>
    <w:rsid w:val="00AB1727"/>
    <w:rsid w:val="00AB3832"/>
    <w:rsid w:val="00AB3976"/>
    <w:rsid w:val="00AC4DE2"/>
    <w:rsid w:val="00AC5CBF"/>
    <w:rsid w:val="00AC6DD0"/>
    <w:rsid w:val="00AD2A23"/>
    <w:rsid w:val="00AD3A13"/>
    <w:rsid w:val="00AD4994"/>
    <w:rsid w:val="00AD4BD4"/>
    <w:rsid w:val="00AD67A2"/>
    <w:rsid w:val="00AE140C"/>
    <w:rsid w:val="00AE265A"/>
    <w:rsid w:val="00AE26F7"/>
    <w:rsid w:val="00AE3D82"/>
    <w:rsid w:val="00AE45E6"/>
    <w:rsid w:val="00AF49B0"/>
    <w:rsid w:val="00B2404C"/>
    <w:rsid w:val="00B266C9"/>
    <w:rsid w:val="00B343E0"/>
    <w:rsid w:val="00B56E4D"/>
    <w:rsid w:val="00B6219B"/>
    <w:rsid w:val="00B623E4"/>
    <w:rsid w:val="00B64675"/>
    <w:rsid w:val="00B67042"/>
    <w:rsid w:val="00B7547A"/>
    <w:rsid w:val="00B842ED"/>
    <w:rsid w:val="00B84BA4"/>
    <w:rsid w:val="00B85B91"/>
    <w:rsid w:val="00B871F4"/>
    <w:rsid w:val="00B9277D"/>
    <w:rsid w:val="00B9761F"/>
    <w:rsid w:val="00BA5FB5"/>
    <w:rsid w:val="00BB19F9"/>
    <w:rsid w:val="00BB32A2"/>
    <w:rsid w:val="00BB3ECB"/>
    <w:rsid w:val="00BC07C2"/>
    <w:rsid w:val="00BC0831"/>
    <w:rsid w:val="00BC5C7D"/>
    <w:rsid w:val="00BD0078"/>
    <w:rsid w:val="00BD2E16"/>
    <w:rsid w:val="00BD5D70"/>
    <w:rsid w:val="00BD6132"/>
    <w:rsid w:val="00BE162A"/>
    <w:rsid w:val="00BF5484"/>
    <w:rsid w:val="00BF5B70"/>
    <w:rsid w:val="00BF7D08"/>
    <w:rsid w:val="00C03D50"/>
    <w:rsid w:val="00C1617D"/>
    <w:rsid w:val="00C23182"/>
    <w:rsid w:val="00C24DAB"/>
    <w:rsid w:val="00C25A98"/>
    <w:rsid w:val="00C276A2"/>
    <w:rsid w:val="00C36BE7"/>
    <w:rsid w:val="00C41FF1"/>
    <w:rsid w:val="00C47F06"/>
    <w:rsid w:val="00C50D9F"/>
    <w:rsid w:val="00C5140F"/>
    <w:rsid w:val="00C75A43"/>
    <w:rsid w:val="00C813B7"/>
    <w:rsid w:val="00C82913"/>
    <w:rsid w:val="00C83DA8"/>
    <w:rsid w:val="00C851B6"/>
    <w:rsid w:val="00C90C00"/>
    <w:rsid w:val="00C90DFD"/>
    <w:rsid w:val="00C91360"/>
    <w:rsid w:val="00C97FA6"/>
    <w:rsid w:val="00CA7B41"/>
    <w:rsid w:val="00CB003D"/>
    <w:rsid w:val="00CB344A"/>
    <w:rsid w:val="00CB4DF8"/>
    <w:rsid w:val="00CC0F65"/>
    <w:rsid w:val="00CE021C"/>
    <w:rsid w:val="00CE5431"/>
    <w:rsid w:val="00CE6524"/>
    <w:rsid w:val="00CF6774"/>
    <w:rsid w:val="00CF6FFB"/>
    <w:rsid w:val="00D00E1E"/>
    <w:rsid w:val="00D017CC"/>
    <w:rsid w:val="00D03499"/>
    <w:rsid w:val="00D03F06"/>
    <w:rsid w:val="00D206AB"/>
    <w:rsid w:val="00D2350A"/>
    <w:rsid w:val="00D23F9F"/>
    <w:rsid w:val="00D277FA"/>
    <w:rsid w:val="00D30E71"/>
    <w:rsid w:val="00D361B0"/>
    <w:rsid w:val="00D376F6"/>
    <w:rsid w:val="00D42439"/>
    <w:rsid w:val="00D425A3"/>
    <w:rsid w:val="00D47221"/>
    <w:rsid w:val="00D57510"/>
    <w:rsid w:val="00D61496"/>
    <w:rsid w:val="00D718F8"/>
    <w:rsid w:val="00D73986"/>
    <w:rsid w:val="00D76645"/>
    <w:rsid w:val="00D7772B"/>
    <w:rsid w:val="00D81FD7"/>
    <w:rsid w:val="00D9126F"/>
    <w:rsid w:val="00DA7321"/>
    <w:rsid w:val="00DA777E"/>
    <w:rsid w:val="00DB024F"/>
    <w:rsid w:val="00DB1424"/>
    <w:rsid w:val="00DB24E7"/>
    <w:rsid w:val="00DB56D2"/>
    <w:rsid w:val="00DC6CC7"/>
    <w:rsid w:val="00DE03C3"/>
    <w:rsid w:val="00DE3D85"/>
    <w:rsid w:val="00DE6180"/>
    <w:rsid w:val="00DE7B4B"/>
    <w:rsid w:val="00DF0897"/>
    <w:rsid w:val="00E04D0C"/>
    <w:rsid w:val="00E126C1"/>
    <w:rsid w:val="00E21708"/>
    <w:rsid w:val="00E35A26"/>
    <w:rsid w:val="00E36993"/>
    <w:rsid w:val="00E41E1C"/>
    <w:rsid w:val="00E44E11"/>
    <w:rsid w:val="00E66758"/>
    <w:rsid w:val="00E674EA"/>
    <w:rsid w:val="00E67D6E"/>
    <w:rsid w:val="00E80CF1"/>
    <w:rsid w:val="00E91F82"/>
    <w:rsid w:val="00E96165"/>
    <w:rsid w:val="00E962C6"/>
    <w:rsid w:val="00E96642"/>
    <w:rsid w:val="00EA18D2"/>
    <w:rsid w:val="00EB14A4"/>
    <w:rsid w:val="00EB7657"/>
    <w:rsid w:val="00EC2160"/>
    <w:rsid w:val="00EC5B77"/>
    <w:rsid w:val="00EC6338"/>
    <w:rsid w:val="00ED0591"/>
    <w:rsid w:val="00EE148A"/>
    <w:rsid w:val="00EE50CF"/>
    <w:rsid w:val="00EF39B1"/>
    <w:rsid w:val="00F01189"/>
    <w:rsid w:val="00F103E2"/>
    <w:rsid w:val="00F1112D"/>
    <w:rsid w:val="00F15285"/>
    <w:rsid w:val="00F2119D"/>
    <w:rsid w:val="00F2523B"/>
    <w:rsid w:val="00F3746B"/>
    <w:rsid w:val="00F3776E"/>
    <w:rsid w:val="00F437CA"/>
    <w:rsid w:val="00F503A2"/>
    <w:rsid w:val="00F5119A"/>
    <w:rsid w:val="00F5158B"/>
    <w:rsid w:val="00F56582"/>
    <w:rsid w:val="00F57E1D"/>
    <w:rsid w:val="00F64422"/>
    <w:rsid w:val="00F720C3"/>
    <w:rsid w:val="00F818A8"/>
    <w:rsid w:val="00F823D2"/>
    <w:rsid w:val="00F87D79"/>
    <w:rsid w:val="00F90819"/>
    <w:rsid w:val="00F97DA5"/>
    <w:rsid w:val="00FA0DA2"/>
    <w:rsid w:val="00FA1371"/>
    <w:rsid w:val="00FA5FE7"/>
    <w:rsid w:val="00FA7120"/>
    <w:rsid w:val="00FC0A02"/>
    <w:rsid w:val="00FC0FFA"/>
    <w:rsid w:val="00FC26D6"/>
    <w:rsid w:val="00FD700F"/>
    <w:rsid w:val="00FE0477"/>
    <w:rsid w:val="00FE197E"/>
    <w:rsid w:val="00FE22E1"/>
    <w:rsid w:val="00FE7642"/>
    <w:rsid w:val="00FF06FC"/>
    <w:rsid w:val="00FF0953"/>
    <w:rsid w:val="00FF0DF4"/>
    <w:rsid w:val="00FF1D18"/>
    <w:rsid w:val="00FF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="100" w:beforeAutospacing="1" w:after="100" w:afterAutospacing="1"/>
    </w:pPr>
    <w:rPr>
      <w:rFonts w:ascii="Times New Roman" w:hAnsi="Times New Roman"/>
      <w:szCs w:val="24"/>
      <w:lang w:eastAsia="es-CO"/>
    </w:rPr>
  </w:style>
  <w:style w:type="table" w:styleId="Tablaconcuadrcula">
    <w:name w:val="Table Grid"/>
    <w:basedOn w:val="Tablanormal"/>
    <w:uiPriority w:val="59"/>
    <w:rsid w:val="00AE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F5B7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945175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183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="100" w:beforeAutospacing="1" w:after="100" w:afterAutospacing="1"/>
    </w:pPr>
    <w:rPr>
      <w:rFonts w:ascii="Times New Roman" w:hAnsi="Times New Roman"/>
      <w:szCs w:val="24"/>
      <w:lang w:eastAsia="es-CO"/>
    </w:rPr>
  </w:style>
  <w:style w:type="table" w:styleId="Tablaconcuadrcula">
    <w:name w:val="Table Grid"/>
    <w:basedOn w:val="Tablanormal"/>
    <w:uiPriority w:val="59"/>
    <w:rsid w:val="00AE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F5B7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945175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183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F630F-70D6-4EC0-A0F1-990151B1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1673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contraloria</cp:lastModifiedBy>
  <cp:revision>12</cp:revision>
  <cp:lastPrinted>2016-10-31T13:46:00Z</cp:lastPrinted>
  <dcterms:created xsi:type="dcterms:W3CDTF">2016-10-31T19:32:00Z</dcterms:created>
  <dcterms:modified xsi:type="dcterms:W3CDTF">2016-12-23T16:19:00Z</dcterms:modified>
</cp:coreProperties>
</file>